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BD1F0">
      <w:pPr>
        <w:pStyle w:val="2"/>
        <w:widowControl/>
        <w:spacing w:beforeAutospacing="0" w:afterAutospacing="0" w:line="600" w:lineRule="exact"/>
        <w:jc w:val="center"/>
        <w:rPr>
          <w:rFonts w:hint="default" w:ascii="Times New Roman" w:hAnsi="Times New Roman" w:eastAsia="方正小标宋简体"/>
          <w:b w:val="0"/>
          <w:kern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2"/>
          <w:sz w:val="44"/>
          <w:szCs w:val="44"/>
          <w:lang w:val="en-US" w:eastAsia="zh-CN"/>
        </w:rPr>
        <w:t>教育部供需对接就业育人项目</w:t>
      </w:r>
    </w:p>
    <w:p w14:paraId="25F4A8BB">
      <w:pPr>
        <w:jc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 w:bidi="ar-SA"/>
        </w:rPr>
        <w:t>项目内容类型</w:t>
      </w:r>
    </w:p>
    <w:p w14:paraId="0E551E5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40"/>
        </w:rPr>
      </w:pPr>
    </w:p>
    <w:p w14:paraId="78D1681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40"/>
        </w:rPr>
      </w:pPr>
      <w:r>
        <w:rPr>
          <w:rFonts w:ascii="Times New Roman" w:hAnsi="Times New Roman" w:eastAsia="仿宋_GB2312" w:cs="Times New Roman"/>
          <w:color w:val="000000"/>
          <w:sz w:val="32"/>
          <w:szCs w:val="40"/>
        </w:rPr>
        <w:t>供需对接就业育人项目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40"/>
        </w:rPr>
        <w:t>实施项目制管理，项目主要包括以下五类：</w:t>
      </w:r>
    </w:p>
    <w:p w14:paraId="7A03C3C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楷体_GB2312" w:hAnsi="楷体" w:eastAsia="楷体_GB2312" w:cs="楷体"/>
          <w:sz w:val="32"/>
          <w:szCs w:val="40"/>
        </w:rPr>
        <w:t>（一）定向人才培养培训项目。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用人单位</w:t>
      </w:r>
      <w:r>
        <w:rPr>
          <w:rFonts w:ascii="Times New Roman" w:hAnsi="Times New Roman" w:eastAsia="仿宋_GB2312" w:cs="Times New Roman"/>
          <w:sz w:val="32"/>
          <w:szCs w:val="40"/>
        </w:rPr>
        <w:t>向高校提出人才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培养培训具体</w:t>
      </w:r>
      <w:r>
        <w:rPr>
          <w:rFonts w:ascii="Times New Roman" w:hAnsi="Times New Roman" w:eastAsia="仿宋_GB2312" w:cs="Times New Roman"/>
          <w:sz w:val="32"/>
          <w:szCs w:val="40"/>
        </w:rPr>
        <w:t>需求，提供经费、师资、技术、平台等方面的支持，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协同</w:t>
      </w:r>
      <w:r>
        <w:rPr>
          <w:rFonts w:ascii="Times New Roman" w:hAnsi="Times New Roman" w:eastAsia="仿宋_GB2312" w:cs="Times New Roman"/>
          <w:sz w:val="32"/>
          <w:szCs w:val="40"/>
        </w:rPr>
        <w:t>高校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制定培养方案，</w:t>
      </w:r>
      <w:r>
        <w:rPr>
          <w:rFonts w:ascii="Times New Roman" w:hAnsi="Times New Roman" w:eastAsia="仿宋_GB2312" w:cs="Times New Roman"/>
          <w:sz w:val="32"/>
          <w:szCs w:val="40"/>
        </w:rPr>
        <w:t>更新教学内容和课程体系，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实施长期系统定向培养（1学年及以上）或短期就业能力培训（1学期或数周），为用人单位输送急需紧缺</w:t>
      </w:r>
      <w:r>
        <w:rPr>
          <w:rFonts w:ascii="Times New Roman" w:hAnsi="Times New Roman" w:eastAsia="仿宋_GB2312" w:cs="Times New Roman"/>
          <w:sz w:val="32"/>
          <w:szCs w:val="40"/>
        </w:rPr>
        <w:t>人才。</w:t>
      </w:r>
    </w:p>
    <w:p w14:paraId="68F6D3D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楷体_GB2312" w:hAnsi="楷体" w:eastAsia="楷体_GB2312" w:cs="楷体"/>
          <w:sz w:val="32"/>
          <w:szCs w:val="40"/>
        </w:rPr>
        <w:t>（二）就业实习基地项目。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用人单位会同</w:t>
      </w:r>
      <w:r>
        <w:rPr>
          <w:rFonts w:ascii="Times New Roman" w:hAnsi="Times New Roman" w:eastAsia="仿宋_GB2312" w:cs="Times New Roman"/>
          <w:sz w:val="32"/>
          <w:szCs w:val="40"/>
        </w:rPr>
        <w:t>高校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共建</w:t>
      </w:r>
      <w:r>
        <w:rPr>
          <w:rFonts w:ascii="Times New Roman" w:hAnsi="Times New Roman" w:eastAsia="仿宋_GB2312" w:cs="Times New Roman"/>
          <w:sz w:val="32"/>
          <w:szCs w:val="40"/>
        </w:rPr>
        <w:t>就业实习基地，提供场地、设备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、指导教师等，协助安排食宿，发放实习补贴，每年提供</w:t>
      </w:r>
      <w:r>
        <w:rPr>
          <w:rFonts w:ascii="Times New Roman" w:hAnsi="Times New Roman" w:eastAsia="仿宋_GB2312" w:cs="Times New Roman"/>
          <w:sz w:val="32"/>
          <w:szCs w:val="40"/>
        </w:rPr>
        <w:t>实习岗位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不少于30个。用人单位在实习过程中储备人才资源、遴选考察毕业生，帮助更多毕业生通过实习实现就业</w:t>
      </w:r>
      <w:r>
        <w:rPr>
          <w:rFonts w:ascii="Times New Roman" w:hAnsi="Times New Roman" w:eastAsia="仿宋_GB2312" w:cs="Times New Roman"/>
          <w:sz w:val="32"/>
          <w:szCs w:val="40"/>
        </w:rPr>
        <w:t>。</w:t>
      </w:r>
    </w:p>
    <w:p w14:paraId="4E2BC50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楷体_GB2312" w:hAnsi="楷体" w:eastAsia="楷体_GB2312" w:cs="楷体"/>
          <w:sz w:val="32"/>
          <w:szCs w:val="40"/>
        </w:rPr>
        <w:t>（三）人力资源提升项目。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用人单位结合事业发展需要，与高校建立定向招聘关系，打造人才工作站或专门人才基地，双方定期互派工作人员开展挂职交流，协同开展就业创业、行业发展、团队建设等专门研究</w:t>
      </w:r>
      <w:r>
        <w:rPr>
          <w:rFonts w:ascii="Times New Roman" w:hAnsi="Times New Roman" w:eastAsia="仿宋_GB2312" w:cs="Times New Roman"/>
          <w:sz w:val="32"/>
          <w:szCs w:val="40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深化互利合作和流程再造，建立紧密的人才供需对接关系。</w:t>
      </w:r>
    </w:p>
    <w:p w14:paraId="0961300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楷体_GB2312" w:hAnsi="楷体" w:eastAsia="楷体_GB2312" w:cs="楷体"/>
          <w:sz w:val="32"/>
          <w:szCs w:val="40"/>
        </w:rPr>
        <w:t>（四）重点领域校企合作项目。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用人单位应涉及高端芯片与软件、智能科技、新材料、先进制造和国家安全等重点领域，参与高校以“强基计划”试点高校为主，开设重点领域企业急需专业的高校也可以参加。通过校企合作开展联合培养，定向提供科研机会或就业岗位。</w:t>
      </w:r>
    </w:p>
    <w:p w14:paraId="523F131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楷体_GB2312" w:hAnsi="楷体" w:eastAsia="楷体_GB2312" w:cs="楷体"/>
          <w:sz w:val="32"/>
          <w:szCs w:val="40"/>
        </w:rPr>
        <w:t>（五）重点群体就业帮扶项目。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用人单位（或公益性社会组织）提供经费支持高校设立“宏志助航计划”校级项目。面向脱贫家庭、低保家庭、零就业家庭、残疾等高校毕业生提供（或支持提供）就业培训、实习实践、结对帮扶、专场招聘等帮扶，通过帮扶重点群体毕业生，帮助其实现尽早就业。</w:t>
      </w:r>
    </w:p>
    <w:p w14:paraId="2F29F82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YWYzYzNkZThlYjZkNTg1Mjc4YTJkNGM4ODE1OWEifQ=="/>
  </w:docVars>
  <w:rsids>
    <w:rsidRoot w:val="5DC37351"/>
    <w:rsid w:val="5D3F1E53"/>
    <w:rsid w:val="5DC3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657</Characters>
  <Lines>0</Lines>
  <Paragraphs>0</Paragraphs>
  <TotalTime>0</TotalTime>
  <ScaleCrop>false</ScaleCrop>
  <LinksUpToDate>false</LinksUpToDate>
  <CharactersWithSpaces>657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2024-07-10T07:03:00Z</dcterms:created>
  <dc:creator>lxy</dc:creator>
  <cp:lastModifiedBy>张晓燕</cp:lastModifiedBy>
  <dcterms:modified xsi:type="dcterms:W3CDTF">2024-10-18T02:39:48Z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3BA8CD40792940BF8887CB21B05E686D_13</vt:lpwstr>
  </property>
</Properties>
</file>