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558" w:firstLineChars="200"/>
        <w:jc w:val="both"/>
        <w:rPr>
          <w:rFonts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b/>
          <w:bCs/>
          <w:spacing w:val="19"/>
          <w:sz w:val="24"/>
          <w:szCs w:val="24"/>
          <w:lang w:eastAsia="zh-CN"/>
        </w:rPr>
        <w:t>附件1</w:t>
      </w:r>
    </w:p>
    <w:p>
      <w:pPr>
        <w:ind w:firstLine="480" w:firstLineChars="200"/>
        <w:jc w:val="both"/>
        <w:rPr>
          <w:rFonts w:ascii="仿宋" w:hAnsi="仿宋" w:eastAsia="仿宋"/>
          <w:sz w:val="24"/>
          <w:szCs w:val="24"/>
          <w:lang w:eastAsia="zh-CN"/>
        </w:rPr>
      </w:pPr>
    </w:p>
    <w:p>
      <w:pPr>
        <w:ind w:firstLine="480" w:firstLineChars="200"/>
        <w:jc w:val="both"/>
        <w:rPr>
          <w:rFonts w:ascii="仿宋" w:hAnsi="仿宋" w:eastAsia="仿宋"/>
          <w:sz w:val="24"/>
          <w:szCs w:val="24"/>
          <w:lang w:eastAsia="zh-CN"/>
        </w:rPr>
      </w:pPr>
    </w:p>
    <w:p>
      <w:pPr>
        <w:pStyle w:val="8"/>
        <w:ind w:firstLine="579" w:firstLineChars="200"/>
        <w:jc w:val="center"/>
        <w:rPr>
          <w:b/>
          <w:bCs/>
          <w:spacing w:val="14"/>
          <w:sz w:val="32"/>
          <w:szCs w:val="32"/>
          <w:lang w:eastAsia="zh-CN"/>
        </w:rPr>
      </w:pPr>
      <w:bookmarkStart w:id="0" w:name="_GoBack"/>
      <w:r>
        <w:rPr>
          <w:b/>
          <w:bCs/>
          <w:spacing w:val="-16"/>
          <w:sz w:val="32"/>
          <w:szCs w:val="32"/>
          <w:lang w:eastAsia="zh-CN"/>
        </w:rPr>
        <w:t>河南省教育厅</w:t>
      </w:r>
      <w:r>
        <w:rPr>
          <w:b/>
          <w:bCs/>
          <w:spacing w:val="14"/>
          <w:sz w:val="32"/>
          <w:szCs w:val="32"/>
          <w:lang w:eastAsia="zh-CN"/>
        </w:rPr>
        <w:t>民办教育专项课题研究项目指南</w:t>
      </w:r>
      <w:bookmarkEnd w:id="0"/>
    </w:p>
    <w:p>
      <w:pPr>
        <w:pStyle w:val="8"/>
        <w:ind w:firstLine="643" w:firstLineChars="200"/>
        <w:jc w:val="center"/>
        <w:rPr>
          <w:b/>
          <w:bCs/>
          <w:sz w:val="32"/>
          <w:szCs w:val="32"/>
          <w:lang w:eastAsia="zh-CN"/>
        </w:rPr>
      </w:pP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1.民办教育在教育强国、教育强省建设中的地位和作用研究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2.教育强省建设民办高等教育发展战略研究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3.选派民办学校党组织负责人实践和思考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4.民办高校分类管理面临的主要问题及政策建议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5.民办学校治理体系和治理能力现代化研究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6.民办教育促进法及实施条例实施路径研究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7.民办学校章程建设及实施研究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8.民办高校内部治理有关法律问题研究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9.民办高校内部决策机构存在问题研究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10.民办高校师资队伍建设现状及对策研究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11.民办高校举办者及管理团队素质能力提升研究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12.民办高校提升服务地方经济社会发展能力研究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13.民办高校贯彻党的教育方针推进途径及维度研究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14.民办学校规范办学实施路径研究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15.年检在规范民办高校办学行为中的功能作用研究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16.民办高校教育教学规范管理研究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17.民办高校法律风险防控研究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18.民办高校高质量发展路径研究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19.人口形势变化与民办教育发展研究</w:t>
      </w:r>
    </w:p>
    <w:p>
      <w:pPr>
        <w:pStyle w:val="8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20.民办高校激活办学活力路径研究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E4"/>
    <w:rsid w:val="00670F33"/>
    <w:rsid w:val="007A2BE4"/>
    <w:rsid w:val="009D653C"/>
    <w:rsid w:val="00FD256D"/>
    <w:rsid w:val="53A8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Table Text"/>
    <w:basedOn w:val="1"/>
    <w:autoRedefine/>
    <w:semiHidden/>
    <w:qFormat/>
    <w:uiPriority w:val="0"/>
    <w:rPr>
      <w:rFonts w:ascii="黑体" w:hAnsi="黑体" w:eastAsia="黑体" w:cs="黑体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1</TotalTime>
  <ScaleCrop>false</ScaleCrop>
  <LinksUpToDate>false</LinksUpToDate>
  <CharactersWithSpaces>440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2023-12-21T08:40:00Z</dcterms:created>
  <dc:creator>李永红</dc:creator>
  <cp:lastModifiedBy>Administrator</cp:lastModifiedBy>
  <dcterms:modified xsi:type="dcterms:W3CDTF">2023-12-26T08:14:03Z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51F9F456434245BCA8576FC652EA6A89_13</vt:lpwstr>
  </property>
</Properties>
</file>