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80" w:lineRule="exact"/>
        <w:ind w:firstLine="0" w:firstLineChars="0"/>
        <w:jc w:val="left"/>
        <w:rPr>
          <w:rFonts w:ascii="黑体" w:hAnsi="黑体" w:eastAsia="黑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28"/>
          <w:szCs w:val="28"/>
        </w:rPr>
        <w:t>附件5：</w:t>
      </w:r>
    </w:p>
    <w:p>
      <w:pPr>
        <w:snapToGrid w:val="0"/>
        <w:spacing w:line="6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郑州商学院校级科研项目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参考选题</w:t>
      </w:r>
    </w:p>
    <w:p>
      <w:pPr>
        <w:snapToGrid w:val="0"/>
        <w:spacing w:line="6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项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加★为重点项目选题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）</w:t>
      </w:r>
    </w:p>
    <w:p>
      <w:pPr>
        <w:snapToGrid w:val="0"/>
        <w:spacing w:line="680" w:lineRule="exact"/>
        <w:ind w:firstLine="0" w:firstLineChars="0"/>
        <w:jc w:val="left"/>
        <w:rPr>
          <w:rFonts w:hint="eastAsia" w:ascii="黑体" w:hAnsi="黑体" w:eastAsia="黑体" w:cs="方正小标宋简体"/>
          <w:sz w:val="30"/>
          <w:szCs w:val="30"/>
          <w:lang w:val="en-US" w:eastAsia="zh-CN"/>
        </w:rPr>
      </w:pPr>
      <w:r>
        <w:rPr>
          <w:rFonts w:hint="eastAsia" w:ascii="黑体" w:hAnsi="黑体" w:eastAsia="黑体" w:cs="方正小标宋简体"/>
          <w:sz w:val="30"/>
          <w:szCs w:val="30"/>
        </w:rPr>
        <w:t>党建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思政类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习近平新时代中国特色社会主义思想的实践研究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2.推动党史学习教育常态化长效化机制研究</w:t>
      </w:r>
    </w:p>
    <w:p>
      <w:pPr>
        <w:snapToGrid w:val="0"/>
        <w:spacing w:line="680" w:lineRule="exact"/>
        <w:ind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</w:rPr>
        <w:t>3.新业态民办高校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基层</w:t>
      </w:r>
      <w:r>
        <w:rPr>
          <w:rFonts w:hint="eastAsia" w:ascii="仿宋" w:hAnsi="仿宋" w:eastAsia="仿宋" w:cs="仿宋"/>
          <w:sz w:val="30"/>
          <w:szCs w:val="30"/>
        </w:rPr>
        <w:t>党组织建设现实困境与优化路径研究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巩义市红色文化资源保护利用研究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5.新时期宣传思想工作的新形势、新要求、新思路研究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bCs/>
          <w:sz w:val="30"/>
          <w:szCs w:val="30"/>
        </w:rPr>
        <w:t>6.网络环境日益复杂背景下的高校意识形态安全问题研究</w:t>
      </w:r>
    </w:p>
    <w:p>
      <w:pPr>
        <w:snapToGrid w:val="0"/>
        <w:spacing w:line="680" w:lineRule="exact"/>
        <w:ind w:firstLine="300" w:firstLineChars="100"/>
        <w:jc w:val="left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应用型民办高校党建业务融合发展研究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0"/>
          <w:szCs w:val="30"/>
        </w:rPr>
        <w:t>.新时期大学生思想行为特点</w:t>
      </w:r>
      <w:r>
        <w:rPr>
          <w:rFonts w:hint="eastAsia" w:ascii="仿宋" w:hAnsi="仿宋" w:eastAsia="仿宋" w:cs="方正小标宋简体"/>
          <w:sz w:val="30"/>
          <w:szCs w:val="30"/>
        </w:rPr>
        <w:t>及关心的热点难点问题研究</w:t>
      </w:r>
    </w:p>
    <w:p>
      <w:pPr>
        <w:snapToGrid w:val="0"/>
        <w:spacing w:line="680" w:lineRule="exact"/>
        <w:ind w:firstLine="0" w:firstLineChars="0"/>
        <w:jc w:val="left"/>
        <w:rPr>
          <w:rFonts w:ascii="黑体" w:hAnsi="黑体" w:eastAsia="黑体" w:cs="方正小标宋简体"/>
          <w:bCs/>
          <w:sz w:val="30"/>
          <w:szCs w:val="30"/>
        </w:rPr>
      </w:pPr>
      <w:r>
        <w:rPr>
          <w:rFonts w:hint="eastAsia" w:ascii="黑体" w:hAnsi="黑体" w:eastAsia="黑体" w:cs="方正小标宋简体"/>
          <w:bCs/>
          <w:sz w:val="30"/>
          <w:szCs w:val="30"/>
        </w:rPr>
        <w:t>服务经济发展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.实施创新驱动科教兴校人才强校战略研究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.数字化转型战略研究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.加快数字经济与实体经济深度融合研究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应用型民办高校</w:t>
      </w:r>
      <w:r>
        <w:rPr>
          <w:rFonts w:hint="eastAsia" w:ascii="仿宋" w:hAnsi="仿宋" w:eastAsia="仿宋" w:cs="方正小标宋简体"/>
          <w:sz w:val="30"/>
          <w:szCs w:val="30"/>
        </w:rPr>
        <w:t>服务乡村振兴的长效机制与策略研究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13.</w:t>
      </w:r>
      <w:r>
        <w:rPr>
          <w:rFonts w:hint="eastAsia" w:ascii="仿宋" w:hAnsi="仿宋" w:eastAsia="仿宋" w:cs="方正小标宋简体"/>
          <w:sz w:val="30"/>
          <w:szCs w:val="30"/>
        </w:rPr>
        <w:t>新时代民办教育服务社会途径研究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</w:rPr>
        <w:t>14.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应用型民办高校横向课题价值及途径研究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15.沿黄“自然风光+黄河文化+慢生活”休闲生态系统研究</w:t>
      </w:r>
    </w:p>
    <w:p>
      <w:pPr>
        <w:snapToGrid w:val="0"/>
        <w:spacing w:line="680" w:lineRule="exact"/>
        <w:ind w:firstLine="0" w:firstLineChars="0"/>
        <w:jc w:val="left"/>
        <w:rPr>
          <w:rFonts w:hint="default" w:ascii="黑体" w:hAnsi="黑体" w:eastAsia="黑体" w:cs="方正小标宋简体"/>
          <w:sz w:val="30"/>
          <w:szCs w:val="30"/>
          <w:lang w:val="en-US"/>
        </w:rPr>
      </w:pP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教育发展类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eastAsia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16.应用型民办高校</w:t>
      </w:r>
      <w:r>
        <w:rPr>
          <w:rFonts w:hint="eastAsia" w:ascii="仿宋" w:hAnsi="仿宋" w:eastAsia="仿宋" w:cs="方正小标宋简体"/>
          <w:sz w:val="30"/>
          <w:szCs w:val="30"/>
        </w:rPr>
        <w:t>有组织科研的实施路径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ascii="仿宋" w:hAnsi="仿宋" w:eastAsia="仿宋" w:cs="方正小标宋简体"/>
          <w:sz w:val="30"/>
          <w:szCs w:val="30"/>
        </w:rPr>
        <w:t>1</w:t>
      </w:r>
      <w:r>
        <w:rPr>
          <w:rFonts w:hint="eastAsia" w:ascii="仿宋" w:hAnsi="仿宋" w:eastAsia="仿宋" w:cs="方正小标宋简体"/>
          <w:sz w:val="30"/>
          <w:szCs w:val="30"/>
        </w:rPr>
        <w:t>7.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新时代高校教师信息化教学能力提升</w:t>
      </w:r>
      <w:r>
        <w:rPr>
          <w:rFonts w:hint="eastAsia" w:ascii="仿宋" w:hAnsi="仿宋" w:eastAsia="仿宋" w:cs="方正小标宋简体"/>
          <w:sz w:val="30"/>
          <w:szCs w:val="30"/>
        </w:rPr>
        <w:t>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</w:rPr>
        <w:t>18.新媒体环境下民办高校思想政治教育的创新研究</w:t>
      </w:r>
    </w:p>
    <w:p>
      <w:pPr>
        <w:snapToGrid w:val="0"/>
        <w:spacing w:line="680" w:lineRule="exact"/>
        <w:ind w:left="0" w:leftChars="0" w:firstLine="300" w:firstLineChars="100"/>
        <w:jc w:val="left"/>
        <w:rPr>
          <w:rFonts w:hint="default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方正小标宋简体"/>
          <w:sz w:val="30"/>
          <w:szCs w:val="30"/>
        </w:rPr>
        <w:t>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应用型民办高校院办校机制研究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default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20.新形势下应用型民办高校基层治理能力提升研究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新形势下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高校毕业生就业问题研究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default" w:ascii="仿宋" w:hAnsi="仿宋" w:eastAsia="仿宋" w:cs="方正小标宋简体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22.全国商科类院校内涵发展路径研究</w:t>
      </w:r>
    </w:p>
    <w:p>
      <w:pPr>
        <w:snapToGrid w:val="0"/>
        <w:spacing w:line="680" w:lineRule="exact"/>
        <w:ind w:firstLine="0" w:firstLineChars="0"/>
        <w:jc w:val="left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文化传播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方正小标宋简体"/>
          <w:sz w:val="30"/>
          <w:szCs w:val="30"/>
        </w:rPr>
        <w:t>.黄河文化“根”与“魂”的河南体现研究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方正小标宋简体"/>
          <w:sz w:val="30"/>
          <w:szCs w:val="30"/>
        </w:rPr>
        <w:t>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巩义</w:t>
      </w:r>
      <w:r>
        <w:rPr>
          <w:rFonts w:hint="eastAsia" w:ascii="仿宋" w:hAnsi="仿宋" w:eastAsia="仿宋" w:cs="方正小标宋简体"/>
          <w:sz w:val="30"/>
          <w:szCs w:val="30"/>
        </w:rPr>
        <w:t>文化品牌发展现状、思路与对策研究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.黄河文化数字化转化创新的对策研究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巩义市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文旅文创融合发展战略实施路径研究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巩义市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黄河文化的资源结构及时代价值研究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.深入推进城乡公共文化服务体系一体化建设</w:t>
      </w:r>
    </w:p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B0377"/>
    <w:rsid w:val="52D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2023-12-13T08:24:00Z</dcterms:created>
  <dc:creator>Administrator</dc:creator>
  <cp:lastModifiedBy>Administrator</cp:lastModifiedBy>
  <dcterms:modified xsi:type="dcterms:W3CDTF">2023-12-14T01:44:50Z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79F15361E66A4AEBAE5D78B9E332302A_13</vt:lpwstr>
  </property>
</Properties>
</file>